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DC6" w:rsidRDefault="00891DC6" w:rsidP="00B75643">
      <w:pPr>
        <w:spacing w:after="0" w:line="276" w:lineRule="auto"/>
        <w:jc w:val="both"/>
        <w:outlineLvl w:val="1"/>
        <w:rPr>
          <w:rFonts w:ascii="Times" w:eastAsiaTheme="majorEastAsia" w:hAnsi="Times" w:cstheme="majorBidi"/>
          <w:b/>
          <w:bCs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45"/>
        <w:gridCol w:w="2961"/>
        <w:gridCol w:w="3688"/>
        <w:gridCol w:w="1268"/>
      </w:tblGrid>
      <w:tr w:rsidR="00037AD2" w:rsidRPr="00037AD2" w:rsidTr="00037AD2">
        <w:trPr>
          <w:trHeight w:val="510"/>
          <w:tblHeader/>
        </w:trPr>
        <w:tc>
          <w:tcPr>
            <w:tcW w:w="9062" w:type="dxa"/>
            <w:gridSpan w:val="4"/>
            <w:shd w:val="clear" w:color="auto" w:fill="D9D9D9" w:themeFill="background1" w:themeFillShade="D9"/>
            <w:noWrap/>
            <w:vAlign w:val="center"/>
          </w:tcPr>
          <w:p w:rsidR="00037AD2" w:rsidRPr="00037AD2" w:rsidRDefault="00037AD2" w:rsidP="00037AD2">
            <w:pPr>
              <w:spacing w:line="276" w:lineRule="auto"/>
              <w:outlineLvl w:val="1"/>
              <w:rPr>
                <w:rFonts w:ascii="Times" w:eastAsiaTheme="majorEastAsia" w:hAnsi="Times" w:cstheme="majorBidi"/>
                <w:b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/>
                <w:bCs/>
                <w:szCs w:val="26"/>
              </w:rPr>
              <w:t>Proje Performans Göstergeleri</w:t>
            </w:r>
          </w:p>
        </w:tc>
      </w:tr>
      <w:tr w:rsidR="00037AD2" w:rsidRPr="00037AD2" w:rsidTr="00037AD2">
        <w:trPr>
          <w:trHeight w:val="510"/>
          <w:tblHeader/>
        </w:trPr>
        <w:tc>
          <w:tcPr>
            <w:tcW w:w="1145" w:type="dxa"/>
            <w:shd w:val="clear" w:color="auto" w:fill="D9D9D9" w:themeFill="background1" w:themeFillShade="D9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/>
                <w:bCs/>
                <w:szCs w:val="26"/>
              </w:rPr>
              <w:t>Kod</w:t>
            </w:r>
          </w:p>
        </w:tc>
        <w:tc>
          <w:tcPr>
            <w:tcW w:w="2961" w:type="dxa"/>
            <w:shd w:val="clear" w:color="auto" w:fill="D9D9D9" w:themeFill="background1" w:themeFillShade="D9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/>
                <w:bCs/>
                <w:szCs w:val="26"/>
              </w:rPr>
              <w:t>Ad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/>
                <w:bCs/>
                <w:szCs w:val="26"/>
              </w:rPr>
              <w:t>Açıklama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/>
                <w:bCs/>
                <w:szCs w:val="26"/>
              </w:rPr>
              <w:t>Birim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Doğrudan Faydalanan İşletme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Gerçekleştirilen Altyapı İyileştirmelerinden Doğrudan Faydalanan Firma/İşletme/Tesis/Üretici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A30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Geri Dönüşümü Sağlanan Atık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Geri Dönüşümü Sağlanan Atık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Kilogram, Ton, Metreküp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A31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Yenilenebilir Enerji Kaynaklı Elektrik Üretim Kapasitesi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Yenilenebilir Enerji Kaynaklı Yıllık Elektrik Üretim Kapasitesi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MW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A32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Yenilenebilir Enerji Yatırım Tutarı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Yapılan Yenilenebilir Enerji Yatırım Tutarı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A33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Sektörel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İhtisas Bölgelerine Yapılan Yatırım Tutarı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Sektörel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İhtisas Bölgelerine Yapılan Altyapı Yatırımı Tutarı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A36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Yenilenebilir enerji kaynaklarıyla üretilen yıllık elektrik enerjisi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yenilenebilir enerji kaynaklarıyla üretilen yıllık elektrik enerjisi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A37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Tesis edilen güneş enerjisi sisteminin kurulu gücü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tesis edilen güneş enerjisi sisteminin kurulu gücü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A38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Tesis edilen biyogaz-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biyokütle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enerjisi sisteminin kurulu gücü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tesis edilen biyogaz-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biyokütle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enerjisi sisteminin kurulu gücü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</w:t>
            </w:r>
            <w:proofErr w:type="spellEnd"/>
            <w:proofErr w:type="gramEnd"/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A39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Yenilenebilir enerji kaynaklarıyla üretilen elektrik neticesinde tasarruf edilen fosil kaynaklı elektrik enerjisi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yenilenebilir enerji kaynaklarıyla üretilen elektrik neticesinde tasarruf edilen fosil kaynaklı elektrik enerjisi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Düzenlenen Rekreasyon Alanı Büyüklüğü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Rekreasyon Alanı Büyüklüğü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102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A40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Yenilenebilir enerji kaynaklarıyla üretilen elektrik enerjisi ile azaltılan C0²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yenilenebilir enerji kaynaklarıyla üretilen elektrik enerjisi ile azaltılan C0²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Metreküp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A44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Engellenen katı (tıbbi atık, tehlikeli atık, ambalaj atığı vb.) atık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engellenen katı (tıbbi atık, tehlikeli atık, ambalaj atığı vb.) atık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Ton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A45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Engellenen sıvı atık (endüstriyel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atıksu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vb.)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engellenen sıvı atık (endüstriyel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atıksu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vb.)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Metreküp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Düzenlenen veya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Rehabilite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Edilen Çevre Alanı Büyüklüğü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Düzenlenen ya da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Rehabilite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Edilen Çevre Alanı Yüzölçümü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A53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Üretilen güneş kaynaklı enerji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üretilen güneş kaynaklı enerji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A54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üretilen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rüzgar kaynaklı enerji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üretilen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rüzgar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kaynaklı enerji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A55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üretilen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jeotermal kaynaklı enerji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üretilen jeotermal kaynaklı enerji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A56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üretilen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hidrolik, akıntı, dalga kaynaklı enerji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üretilen hidrolik, akıntı, dalga kaynaklı enerji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A57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üretilen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biyogaz – biokütle kaynaklı enerji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üretilen biyogaz – biokütle kaynaklı enerji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A58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üretilen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yeni (hidrojen, yakıt hücreleri vb.) kaynaklı enerji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üretilen yeni (hidrojen, yakıt hücreleri vb.) kaynaklı enerji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A59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azaltılan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atık ürün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azaltılan yıllık atık ürün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Metreküp, Ton, Kilogram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Çevre Düzenleme Amaçlı Yapılan Harcama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Çevre Alanı Düzenleme ya da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Rehabilite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Etme Amacıyla Yapılan Toplam Harcama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A67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açık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hava yürüyüş-koşu parkur uzunluğu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oluşturulan açık hava yürüyüş-koşu parkur uzunluğu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A69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Düzenlenen veya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Rehabilite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Edilen Yeşil Alan Büyüklüğü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Düzenlenen ya da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Rehabilite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Edilen Yeşil Alanın Yüzölçümü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12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A72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Kullanıma Sunulan Sosyal veya Kentsel Donatı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Kullanıma Sunulan Sosyal veya Kentsel Donatı (kamelya, seyir terası, aydınlatma elemanları, sokak levhaları, işaret levhaları, oturma sıraları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vb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A73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Atık Isı ve Suyun Geri Dönüşümü ile Sağlanan Enerji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Atık Isı ve Suyun Geri Dönüşümü ile Sağlanan Enerji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kwh</w:t>
            </w:r>
            <w:proofErr w:type="spellEnd"/>
            <w:proofErr w:type="gramEnd"/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A74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Yenilenebilir Enerji ile Sulanan Alan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Yenilenebilir Enerji ile Sulanan Alan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Dekar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A75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Geliştirilen sanayi-üniversite iş birliği çalışmalarının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yeni geliştirilen sanayi-üniversite iş birliği çalışmalarının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A77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 kurulan mesleki eğitim/eğitim merkezi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</w:t>
            </w:r>
            <w:bookmarkStart w:id="0" w:name="_GoBack"/>
            <w:bookmarkEnd w:id="0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eni kurulan mesleki eğitim/eğitim merkezi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A78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Yapılan Enerji Yatırımı Tutarı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Yapılan Enerji Yatırımı Tutarı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A78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Altyapısı iyileştirilen mesleki eğitim/eğitim merkezi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altyapısı iyileştirilen mesleki eğitim/eğitim merkezi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A79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Fiziki Koşulları İyileştirilen Çarşı/Pazar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Fiziki Koşulları İyileştirilen Çarşı/Pazar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A80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Fiziki Koşulları İyileştirilen Çarşıların/Pazarın Toplam Alanı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Fiziki Koşulları İyileştirilen Çarşıların/Pazarın Toplam Alanı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A82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İyileştirilen/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Sağlıklaştırılan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Sokak/Cadde vb.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İyileştirilen Sokak/Cadde Vb.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A83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İyileştirilen/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Sağlıklaştırılan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Sokak/Cadde vb. Alanı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İyileştirilen/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Sağlıklaştırılan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Sokak/Cadde vb. Alanı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A84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Düzenleme/İyileştirme Yapılan Sosyal/Kültürel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Mekan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Ortak Kullanıma Yönelik Mekanlarda Düzenlenen, İyileştirilen Mekanların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A85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Düzenleme/İyileştirme Yapılan Sosyal/Kültürel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Mekan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Alanı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Ortak Kullanıma Yönelik Mekanlarda Düzenlenen, İyileştirilen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Mekanın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Alanı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A87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 kurulan tasarım merkezi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yeni kurulan tasarım merkezi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Sürekli İstihdam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1 Yıldan Uzun Süreli İstihdam Edilen Toplam Kişi Sayısı (Proje Ekibi Dışında)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15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G10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Eğitim Harcamaları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Bütçesinden Firma Personelinin Teknik, İdari ve Kişisel Gelişim Yönlerinden Kapasitesini Artırmaya Yönelik Düzenlenen Eğitimler İçin Aktarılan Miktar (Yeni Alınan Makine İçin Kullanım Eğitimleri Hariç)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Geçici İstihdam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1 Yıldan Kısa Süreli, Sadece Belirli Bir İşin Gerçekleştirilmesi İçin İstihdam Edilen Toplam Kişi Sayısı (Proje Ekibi Dışında)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İstihdam Edilen Engelli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Geçici veya Sürekli İstihdam Edilen Engelli Kişi Sayısı (Proje Ekibi Dışında)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İstihdam Edilen Kadın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Geçici veya Sürekli İstihdam Edilen Kadın Sayısı (Proje Ekibi Dışında)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İstihdam Edilen Genç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Geçici veya Sürekli İstihdam Edilen Genç Sayısı (16-29 Yaş) (Proje Ekibi Dışında)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15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Eğitim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Firma Personelinin Teknik, İdari ve Kişisel Gelişim Yönlerinden Kapasitesini Artırmaya Yönelik Düzenlenen Eğitim Sayısı </w:t>
            </w: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(Yeni Alınan Makine İçin Kullanım Eğitimleri Hariç)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Eğitim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Eğitim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15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Eğitim Süresi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Firma Personelinin Teknik, İdari ve Kişisel Gelişim Yönlerinden Kapasitesini Artırmaya Yönelik Düzenlenen Eğitimlerin Süresi (Yeni Alınan Makine İçin Kullanım Eğitimleri Hariç)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Saat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Eğitim Süresi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Eğitimlerin Süresi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Saat</w:t>
            </w:r>
          </w:p>
        </w:tc>
      </w:tr>
      <w:tr w:rsidR="00037AD2" w:rsidRPr="00037AD2" w:rsidTr="00037AD2">
        <w:trPr>
          <w:trHeight w:val="15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Eğitime Katılan Kişi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Firma Personelinin Teknik, İdari ve Kişisel Gelişim Yönlerinden Kapasitesini Artırmaya Yönelik Düzenlenen Eğitimlere Katılan Kişi Sayısı (Yeni Alınan Makine İçin Kullanım Eğitimleri Hariç)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Eğitime Katılan Kişi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Eğitimlere Katılan Kişi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GP21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Bahçe Peyzaj Alanı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Bahçe Peyzaj Alanı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GP26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Restore Edilen Meydan Alanı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İnşa Edilen Meydanın Alanı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GP44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Ticari Kullanım Alanı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Kazandırılan Ticari Kullanım Alanı Büyüklüğü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Metrekare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GP45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Kurulan/Yenilenen Web Sitesi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Faydalanıcılar Tarafından Kurulan/Yenilenen Web Sitesi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Toplam Üretim Değeri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Yıllık Üretim Miktarının Satış Fiyatı Üzerinden Parasal Karşılığı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İthal Makine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Sahip Olduğu Üretim Hattında Kullanılan İthal Makine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Üretim Hattı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Sahip Olduğu Üretim Hattı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 Makine Harcamaları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Bütçesinden Yeni Makine Alımı İçin Kullanılan Miktar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Yerli Makine Harcamaları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Bütçesinden Yerli Makine Alımı İçin Kullanılan Miktar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İthal Makine Harcamaları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Bütçesinden İthal Makine Alımı İçin Kullanılan Miktar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K15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Müşteri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Müşteri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Yurtdışı Müşteri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 İşletme Tarafından İhracat Yapılan Yurtdışı Müşteri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İhracat Yapılan Ülke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 İşletme Tarafından İhracat Yapılan Ülke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Ürün Çeşidi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Ürettiği ya da Pazarladığı Ürün Çeşidi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K19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Yenilikçi Ürün Çeşidi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Ürettiği ya da Pazarladığı Yenilikçi Ürün Çeşidi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Yurt İçi Satış Tutarı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Yıllık Yurt İçi Satışının Parasal Değeri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Yurt İçi Satış Tutarı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Yıllık Yurt İçi Satışının Parasal Değeri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K20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Düzenlenen Sergi, Fuar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Firmanın Düzenlemiş Olduğu Tanıtım Amaçlı Sergi, Fuar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K21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Katılım Sağlanan Seminer, Toplantı, Konferans,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Çalıştay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vs.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Firmanın Katılım Sağladığı Seminer, </w:t>
            </w:r>
            <w:proofErr w:type="spellStart"/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Toplantı,Konferans</w:t>
            </w:r>
            <w:proofErr w:type="spellEnd"/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Çalıştay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vs.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K22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Patent Başvuru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 İşletme Tarafından Yapılan Patent Başvurusu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K23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Patent Tescil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 İşletme Tarafından Alınan Patent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K24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Marka Başvuru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 İşletme Tarafından Yapılan Marka Başvurusu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K25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Marka Tescil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 İşletme Tarafından Tescil Ettirilen Marka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Yurt Dışı Satış Tutarı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Yıllık Yurt Dışı Satışının Parasal Değeri (İhracat Tutarı)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K30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Coğrafi İşaret Başvuru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 İşletme Tarafından Başvurusu Yapılan Coğrafi İşaret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K31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Coğrafi İşaret Tescil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 İşletme Tarafından Tescil Ettirilen Coğrafi İşaret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K32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Alınan Sertifika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Teknik ve Kalite Standartlarına Göre Alınan Sertifika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K33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Nihai Ürün İhracatı İçindeki İthal Edilen Ara Mal Tutarı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Yıllık Nihai Ürün İhracatı İçindeki İthal Edilen Ara Mal Miktarının Parasal Karşılığı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K34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Soğuk Hava Deposu Kapasitesi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Oluşturulan Soğuk Hava Deposu Kapasitesi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Metreküp, Ton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K4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Ar-Ge Harcamaları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Bütçesinden Araştırma ve Geliştirme Faaliyetlerine Aktarılan Miktar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K40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Geliştirilen Prototip Ürün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Geliştirilen Prototip Ürün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K43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Ortaklık Kurulan/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İşbirliği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Yapılan Kurum/Kuruluş/İşletme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Ortaklık/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İşbirliği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Yapılan Kurum/Kuruluş/İşletme (Özel Sektör-Üniversite vb.)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12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K45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Ticarileştirmeye Yönelik Analiz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Yapılacak Ticarileştirme Faaliyetleri Doğrultusunda Yapılan Analizlerin (Finansal Analiz, Pazar Analizi, Risk Analizi, Fayda Maliyet Analizi vb.)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24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K46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Kurulan/Geliştirilen Ortak Kullanım Alanı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Kurulan/Geliştirilen Ortak Kullanım Alanı (Teknopark,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Teknokent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, İş Geliştirme Merkezi, Merkez, Enstitü,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Laboratuar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, Kuluçka Merkezi,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İnovasyon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ve Teknoloji Transfer Merkezi, Teknoloji Transfer Ofisi (TTO), Tasarım Merkezi, Teknoloji Danışmanlık Merkezi, Mükemmeliyet Merkezi, Yenilik Aktarım Merkezi vb.)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24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K47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Kurulan/Geliştirilen Ortak Kullanım Alanından Faydalanan Kurum/Kuruluş/İşletme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Kurulan/Geliştirilen Ortak Kullanım Alanından (Teknopark,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Teknokent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, İş Geliştirme Merkezi, Enstitü, Kuluçka Merkezi,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İnovasyon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ve Teknoloji Transfer Merkezi, Teknoloji Transfer Ofisi (TTO), Tasarım Merkezi, Teknoloji Danışmanlık Merkezi, Mükemmeliyet Merkezi, Yenilik Aktarım Merkezi vb.) Faydalanan Kurum/Kuruluş/İşletme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Ar-Ge Personeli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Firmada İstihdam Edilen Toplam Ar-Ge Personeli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K51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Geliştirilen Yenilikçi Hizmet/Model/Uygulama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Geliştirilen Yenilikçi Hizmet/Model/Uygulama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K52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Çevre Dostu Ürün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Geliştirilen Çevre Dostu Ürün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K53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Üretilen Enerjinin Satışından Elde Edilen Gelir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Üretilen Enerjinin Satışından Elde Edilen Gelir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K56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Soğuk Hava Deposu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Tarımsal Ürünlerin Depolanmasına Yönelik Yapılan Soğuk Hava Deposu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K57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Pazarlama, Satış ve Dağıtım Giderleri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Faydalanıcının Gelir Tablosundaki Pazarlama, Satış ve Dağıtım Giderleri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TL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Üretim Kapasitesi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Yıllık Üretim Kapasitesi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Metreküp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K62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Modernizasyonu sağlanan üretim hattı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modernizasyonu sağlanan üretim hattı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K63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Verimlilik artışı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firmanın üretim faaliyetlerinde gerçekleşen % verimlilik artışı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%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K65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Açılan yeni satış noktası/bayi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yeni açılan satış noktası/bayi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K67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Tasarlanan yeni ambalaj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tasarlanan yeni ambalaj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K69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Uygulanan kaynak verimliliği arttırıcı proje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Uygulanan kaynak verimliliği arttırıcı proje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Üretim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Yıllık Üretim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Metreküp, Ton, 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K70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Yıllık toplam yakıt tasarrufu miktarı (TEP)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Uygulanan proje ile sağlanan yıllık toplam yakıt tasarrufu miktarı TEP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Diğer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K73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Kaynak verimliliğine yönelik sertifika alan işletme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Kaynak verimliliğine yönelik sertifika alan işletme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K74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Kaynak verimliliği konusunda eğitilen toplam personel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kaynak verimliliği konusunda eğitilen toplam personel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K76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Kurumsal yönetime yönelik hazırlanan yol haritası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firmalarda kurumsal yönetime yönelik hazırlanan yol haritası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K77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Sürdürülebilir üretim konusunda hazırlanan yol haritası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firmalarda sürdürülebilir üretimin sağlanması konusunda hazırlanan yol haritası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12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K78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Sertifikasyon/akreditasyon süreçlerinin tamamlanmasına yönelik hazırlanan yol haritası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firmaların tedarik zincirine dahil olmaları için gerekli sertifikasyon/akreditasyon süreçlerinin tamamlanmasına yönelik hazırlanan yol haritası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K79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Yerli üretimi yapılan ithal ara malı çeşidi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 ile yerli üretimi yapılan ithal ara malı çeşidi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K80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Alınan yerli ürün belgesi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 ile alınan yerli ürün belgesi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K81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Yerli üretimi yapılacak ithal ara malının planlanan yıllık üretim miktarı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 ile yerli üretimi yapılacak ithal ara malının planlanan yıllık üretim miktarı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K86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Başvurusu yapılan tesis güvenlik belgesi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 ile başvurusu yapılan tesis güvenlik belgesi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K87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Stantlı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katılım sağlanan uluslararası fuar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bütçesi ile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stantlı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katılım sağlanan uluslararası fuar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K88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Birim üretim maliyetlerinde azalma oranı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Projenin uygulanması sonucunda birim üretim maliyetlerinde azalma oranı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%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Yerli Makine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Firmanın Sahip Olduğu Üretim Hattında Kullanılan Yerli Makine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K90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Oluşturulan aile/ortaklık anayasası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 ile oluşturulan aile/ortaklık anayasası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K91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Yalın üretim süreci uygulaması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bütçesi ile oluşturulan yalın üretim süreci uygulanan tesis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K92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Kurulan dijital ürün takip sitemi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kurulan dijital ürün takip sistemi sayısı (Hologram-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Karekod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K93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Kurulan yerel üretici pazarı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kurulan yerel üretici pazarı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Doğrudan Faydalanan Kişi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Gerçekleştirilen Altyapı İyileştirmelerinden Doğrudan Faydalanan Kişi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Doğrudan Faydalanıcı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Faaliyetlerden Doğrudan Yararlanan Faydalanıcı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Doğrudan Faydalanıcı Sayısı (Göç Eden Kişiler)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Düzenlenen Faaliyetlerden Doğrudan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YararlananGöçle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Gelen Kişi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Eğitilen Engelli Sayısı 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Eğitilen Engelli Kişi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Eğitilen Kadın Sayısı 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Eğitilen Kadın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Eğitilen Genç Sayısı 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Eğitilen Genç Sayısı (16-29 Yaş)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Eğitilen Eski Hükümlü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Eğitilen Eski Hükümlü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Gönüllü Çalışan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Gönüllü Olarak Çalışanların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Saysı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12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S18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Düzenlenmiş Bilinçlendirme/Yaygınlaştırma Faaliyeti Sayısı (Toplantı, Seminer, Konferans, Sergi,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Çalıştay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, Organizasyon vs.)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Düzenlenen Bilinçlendirme/Yaygınlaştırma Faaliyeti Sayısı (Toplantı, Seminer, Konferans, Sergi,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Çalıştay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, Organizasyon vs.)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S19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Ortak Kullanım Amaçlı Sosyal Alan/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Mekan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/Merkez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Ortak Kullanım Amaçlı Sosyal Alan/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Mekan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/Merkez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Kadın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Faaliyetlerden Doğrudan Yararlanan Kadın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S21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Merkez/Atölye/Destek Odası Sayısı (Çocuk)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Çocuklara (0-15) Yönelik Merkez/Atölye/Destek Odası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S22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Merkez/Atölye/Destek Odası Sayısı (Genç)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Gençlere (16-29) Yönelik Merkez/Atölye/Destek Odası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S23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Merkez/Atölye Sayısı (Kadın)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Kadınlara Yönelik Merkez/Atölye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S24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Merkez/Atölye Sayısı (Engelli)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Engellilere Yönelik Merkez/Atölye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S25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Merkez/Atölye Sayısı (Yaşlı)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Yaşlılara (65 ve Üzeri) Yönelik Merkez/Atölye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S28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Uluslararası Geçerliliğe Sahip Sertifikasyonla Belgelendirilmiş Eğitim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Uluslararası Geçerliliğe Sahip Sertifikasyonla Belgelendirilmiş Eğitim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S29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Uluslararası Akreditasyonu Sağlanan Tesisi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Uluslararası Akreditasyonu Sağlanan Tesis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Engelli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Faaliyetlerden Doğrudan Yararlanan Engelli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S31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Geliştirilen Yenilikçi Hizmet/Model/Uygulama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Geliştirilen Yenilikçi Hizmet/Model/Uygulama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S32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Mesleki Eğitim Alan Kadın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Faydalanıcılara Verilen Meslek Edindirme Eğitimlerine Katılan Kadın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S36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Eğitici Eğitimi Alan Kadın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Faydalanıcılara Eğitim Vermek Üzere Yetiştirilen Kadın Eğitimci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S4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Çocuk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Faaliyetlerden Doğrudan Yararlanan Çocuk (0-15)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12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S40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Bilinçlendirme/Yaygınlaştırma Faaliyetine (Seminer, Konferans, Sergi,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Çalıştay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vs.) Katılan Kişi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Düzenlenen Bilinçlendirme/Yaygınlaştırma Faaliyetine (Seminer, Konferans, Sergi,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Çalıştay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vs.) Katılanların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12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S41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Bilinçlendirme/Yaygınlaştırma Faaliyetine (Seminer, Konferans, Sergi,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Çalıştay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vs.) Katılan Kurumların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Proje Kapsamında Düzenlenen Bilinçlendirme/Yaygınlaştırma Faaliyetine (Seminer, Konferans, Sergi, </w:t>
            </w: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Çalıştay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vs.) Katılan Kurumların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S42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Eğitilen Çocuk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Eğitilen Çocuk (0-15 Yaş)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S43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Eğitilen Yetişkin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Eğitilen Yetişkin (Anne-Babaların, Diğer Aile Bireylerinin ve Yakınlarının)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S47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Ortak Kullanım Amaçlı Spor Alanı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Ortak Kullanım Amaçlı Spor Alanı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S5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Genç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Faaliyetlerden Doğrudan Yararlanan Genç (16-29)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S50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Projeden Faydalanan Mahalle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Projeden Faydalanan ve Statüsü Köyden Mahalleye Dönüşmüş Mahalle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S6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Yaşlı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Faaliyetlerden Doğrudan Yararlanan Yaşlı (65 Yaş ve Üzeri)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S60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Özel Yetenekliler İçin Hazırlanan Müfredat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Özel Yeteneklilere Yönelik Hazırlanan Eğitim Müfredatı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S62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Eğiticilerin Eğitimine Katılan Kişi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Eğitim Alan Eğitmen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S68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Mobil merkez/atölye/destek odası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oluşturulan mobil merkez/atölye/destek odası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S7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Düzenli Geliri Olmayanlar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Faaliyetlerden Doğrudan Yararlanan, Düzenli Geliri Olmayan Kişi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3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S79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Ziyaret edilen firma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ziyaret edilen firma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Adet</w:t>
            </w:r>
          </w:p>
        </w:tc>
      </w:tr>
      <w:tr w:rsidR="00037AD2" w:rsidRPr="00037AD2" w:rsidTr="00037AD2">
        <w:trPr>
          <w:trHeight w:val="6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S8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Doğrudan Faydalanıcı </w:t>
            </w:r>
            <w:proofErr w:type="gram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Sayısı -</w:t>
            </w:r>
            <w:proofErr w:type="gram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Mesleki Eğitim Alanlar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Faydalanıcılara verilen Mesleki Eğitim Desteğine Katılan Kişi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900"/>
        </w:trPr>
        <w:tc>
          <w:tcPr>
            <w:tcW w:w="1145" w:type="dxa"/>
            <w:noWrap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S9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Doğrudan Faydalanıcı Sayısı (Mülteci, Sığınmacı, IDP-Yerinden Edilmiş Kişiler)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Kapsamında Düzenlenen Faaliyetlerden Doğrudan Yararlanan Mülteci, Sığınmacı ve Yerinden Edilmiş Kişi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  <w:tr w:rsidR="00037AD2" w:rsidRPr="00037AD2" w:rsidTr="00037AD2">
        <w:trPr>
          <w:trHeight w:val="675"/>
        </w:trPr>
        <w:tc>
          <w:tcPr>
            <w:tcW w:w="1145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proofErr w:type="spellStart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lastRenderedPageBreak/>
              <w:t>KAYS'a</w:t>
            </w:r>
            <w:proofErr w:type="spellEnd"/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 xml:space="preserve"> Eklenmesi İstenen</w:t>
            </w:r>
          </w:p>
        </w:tc>
        <w:tc>
          <w:tcPr>
            <w:tcW w:w="2961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Kooperatife yeni ortak olan kişi/kurum sayısı</w:t>
            </w:r>
          </w:p>
        </w:tc>
        <w:tc>
          <w:tcPr>
            <w:tcW w:w="368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both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Proje süresince kooperatife ortak olan gerçek kişilerin/kurumların sayısı</w:t>
            </w:r>
          </w:p>
        </w:tc>
        <w:tc>
          <w:tcPr>
            <w:tcW w:w="1268" w:type="dxa"/>
            <w:vAlign w:val="center"/>
            <w:hideMark/>
          </w:tcPr>
          <w:p w:rsidR="00037AD2" w:rsidRPr="00037AD2" w:rsidRDefault="00037AD2" w:rsidP="00037AD2">
            <w:pPr>
              <w:spacing w:line="276" w:lineRule="auto"/>
              <w:jc w:val="center"/>
              <w:outlineLvl w:val="1"/>
              <w:rPr>
                <w:rFonts w:ascii="Times" w:eastAsiaTheme="majorEastAsia" w:hAnsi="Times" w:cstheme="majorBidi"/>
                <w:bCs/>
                <w:szCs w:val="26"/>
              </w:rPr>
            </w:pPr>
            <w:r w:rsidRPr="00037AD2">
              <w:rPr>
                <w:rFonts w:ascii="Times" w:eastAsiaTheme="majorEastAsia" w:hAnsi="Times" w:cstheme="majorBidi"/>
                <w:bCs/>
                <w:szCs w:val="26"/>
              </w:rPr>
              <w:t>Kişi</w:t>
            </w:r>
          </w:p>
        </w:tc>
      </w:tr>
    </w:tbl>
    <w:p w:rsidR="00037AD2" w:rsidRDefault="00037AD2" w:rsidP="00B75643">
      <w:pPr>
        <w:spacing w:after="0" w:line="276" w:lineRule="auto"/>
        <w:jc w:val="both"/>
        <w:outlineLvl w:val="1"/>
        <w:rPr>
          <w:rFonts w:ascii="Times" w:eastAsiaTheme="majorEastAsia" w:hAnsi="Times" w:cstheme="majorBidi"/>
          <w:b/>
          <w:bCs/>
          <w:szCs w:val="26"/>
        </w:rPr>
      </w:pPr>
    </w:p>
    <w:p w:rsidR="00B75643" w:rsidRDefault="00B75643">
      <w:r>
        <w:br w:type="page"/>
      </w:r>
    </w:p>
    <w:p w:rsidR="00B75643" w:rsidRPr="00B75643" w:rsidRDefault="00B75643" w:rsidP="00B75643">
      <w:pPr>
        <w:spacing w:after="120" w:line="276" w:lineRule="auto"/>
        <w:jc w:val="both"/>
        <w:rPr>
          <w:rFonts w:ascii="Times" w:eastAsiaTheme="minorEastAsia" w:hAnsi="Times" w:cs="Times New Roman"/>
          <w:sz w:val="24"/>
          <w:szCs w:val="24"/>
        </w:rPr>
      </w:pPr>
    </w:p>
    <w:p w:rsidR="00B75643" w:rsidRPr="00B75643" w:rsidRDefault="00B75643" w:rsidP="00B75643">
      <w:pPr>
        <w:spacing w:after="0" w:line="276" w:lineRule="auto"/>
        <w:jc w:val="both"/>
        <w:outlineLvl w:val="1"/>
        <w:rPr>
          <w:rFonts w:ascii="Times" w:eastAsiaTheme="majorEastAsia" w:hAnsi="Times" w:cstheme="majorBidi"/>
          <w:b/>
          <w:bCs/>
          <w:sz w:val="26"/>
          <w:szCs w:val="26"/>
        </w:rPr>
      </w:pPr>
      <w:bookmarkStart w:id="1" w:name="_Toc55390772"/>
      <w:r w:rsidRPr="00B75643">
        <w:rPr>
          <w:rFonts w:ascii="Times" w:eastAsiaTheme="majorEastAsia" w:hAnsi="Times" w:cstheme="majorBidi"/>
          <w:b/>
          <w:bCs/>
          <w:sz w:val="26"/>
          <w:szCs w:val="26"/>
        </w:rPr>
        <w:t>Program Performans Göstergeleri</w:t>
      </w:r>
      <w:bookmarkEnd w:id="1"/>
      <w:r w:rsidRPr="00B75643">
        <w:rPr>
          <w:rFonts w:ascii="Times" w:eastAsiaTheme="majorEastAsia" w:hAnsi="Times" w:cstheme="majorBidi"/>
          <w:b/>
          <w:bCs/>
          <w:sz w:val="26"/>
          <w:szCs w:val="26"/>
        </w:rPr>
        <w:t xml:space="preserve"> 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216"/>
        <w:gridCol w:w="3136"/>
        <w:gridCol w:w="1313"/>
        <w:gridCol w:w="4536"/>
      </w:tblGrid>
      <w:tr w:rsidR="00B75643" w:rsidRPr="00B75643" w:rsidTr="00B75643">
        <w:tc>
          <w:tcPr>
            <w:tcW w:w="1216" w:type="dxa"/>
            <w:shd w:val="clear" w:color="auto" w:fill="7B7B7B" w:themeFill="accent3" w:themeFillShade="BF"/>
          </w:tcPr>
          <w:p w:rsidR="00B75643" w:rsidRPr="00B75643" w:rsidRDefault="00B75643" w:rsidP="00B75643">
            <w:pPr>
              <w:shd w:val="clear" w:color="auto" w:fill="7B7B7B" w:themeFill="accent3" w:themeFillShade="BF"/>
              <w:spacing w:after="200" w:line="276" w:lineRule="auto"/>
              <w:rPr>
                <w:rFonts w:ascii="Times" w:eastAsiaTheme="minorEastAsia" w:hAnsi="Times"/>
                <w:b/>
              </w:rPr>
            </w:pPr>
            <w:r w:rsidRPr="00B75643">
              <w:rPr>
                <w:rFonts w:ascii="Times" w:eastAsiaTheme="minorEastAsia" w:hAnsi="Times"/>
                <w:b/>
              </w:rPr>
              <w:t>Kodu</w:t>
            </w:r>
          </w:p>
        </w:tc>
        <w:tc>
          <w:tcPr>
            <w:tcW w:w="3136" w:type="dxa"/>
            <w:shd w:val="clear" w:color="auto" w:fill="7B7B7B" w:themeFill="accent3" w:themeFillShade="BF"/>
          </w:tcPr>
          <w:p w:rsidR="00B75643" w:rsidRPr="00B75643" w:rsidRDefault="00B75643" w:rsidP="00B75643">
            <w:pPr>
              <w:shd w:val="clear" w:color="auto" w:fill="7B7B7B" w:themeFill="accent3" w:themeFillShade="BF"/>
              <w:spacing w:after="200" w:line="276" w:lineRule="auto"/>
              <w:rPr>
                <w:rFonts w:ascii="Times" w:eastAsiaTheme="minorEastAsia" w:hAnsi="Times"/>
                <w:b/>
              </w:rPr>
            </w:pPr>
            <w:r w:rsidRPr="00B75643">
              <w:rPr>
                <w:rFonts w:ascii="Times" w:eastAsiaTheme="minorEastAsia" w:hAnsi="Times"/>
                <w:b/>
              </w:rPr>
              <w:t>Adı</w:t>
            </w:r>
          </w:p>
        </w:tc>
        <w:tc>
          <w:tcPr>
            <w:tcW w:w="1313" w:type="dxa"/>
            <w:shd w:val="clear" w:color="auto" w:fill="7B7B7B" w:themeFill="accent3" w:themeFillShade="BF"/>
          </w:tcPr>
          <w:p w:rsidR="00B75643" w:rsidRPr="00B75643" w:rsidRDefault="00B75643" w:rsidP="00B75643">
            <w:pPr>
              <w:shd w:val="clear" w:color="auto" w:fill="7B7B7B" w:themeFill="accent3" w:themeFillShade="BF"/>
              <w:spacing w:after="200" w:line="276" w:lineRule="auto"/>
              <w:ind w:left="-83"/>
              <w:rPr>
                <w:rFonts w:ascii="Times" w:eastAsiaTheme="minorEastAsia" w:hAnsi="Times"/>
                <w:b/>
              </w:rPr>
            </w:pPr>
            <w:r w:rsidRPr="00B75643">
              <w:rPr>
                <w:rFonts w:ascii="Times" w:eastAsiaTheme="minorEastAsia" w:hAnsi="Times"/>
                <w:b/>
              </w:rPr>
              <w:t>Birimi</w:t>
            </w:r>
          </w:p>
        </w:tc>
        <w:tc>
          <w:tcPr>
            <w:tcW w:w="4536" w:type="dxa"/>
            <w:shd w:val="clear" w:color="auto" w:fill="7B7B7B" w:themeFill="accent3" w:themeFillShade="BF"/>
          </w:tcPr>
          <w:p w:rsidR="00B75643" w:rsidRPr="00B75643" w:rsidRDefault="00B75643" w:rsidP="00B75643">
            <w:pPr>
              <w:shd w:val="clear" w:color="auto" w:fill="7B7B7B" w:themeFill="accent3" w:themeFillShade="BF"/>
              <w:spacing w:after="200" w:line="276" w:lineRule="auto"/>
              <w:rPr>
                <w:rFonts w:ascii="Times" w:eastAsiaTheme="minorEastAsia" w:hAnsi="Times"/>
                <w:b/>
              </w:rPr>
            </w:pPr>
            <w:r w:rsidRPr="00B75643">
              <w:rPr>
                <w:rFonts w:ascii="Times" w:eastAsiaTheme="minorEastAsia" w:hAnsi="Times"/>
                <w:b/>
              </w:rPr>
              <w:t>Gösterge Açıklaması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G1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Sürekli İstihdam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ind w:left="-83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Kişi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1 Yıldan Uzun Süreli İstihdam Edilen Toplam Kişi Sayısı (Proje Ekibi Dışında)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K7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Üretim Miktarı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Metreküp, Ton, 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Firmanın Yıllık Üretim Miktarı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K19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Yenilikçi Ürün Çeşidi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Firmanın Ürettiği ya da Pazarladığı Yenilikçi Ürün Çeşidi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K30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Coğrafi İşaret Başvuru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Faydalanıcı İşletme Tarafından Başvurusu Yapılan Coğrafi İşaret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K31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Coğrafi İşaret Tescil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Faydalanıcı İşletme Tarafından Tescil Ettirilen Coğrafi İşaret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K32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Alınan Sertifika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 w:cs="Arial"/>
                <w:color w:val="222222"/>
              </w:rPr>
              <w:t>Proje Kapsamında Teknik ve Kalite Standartlarına Göre Alınan Sertifika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K45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Ticarileştirmeye Yönelik Analiz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Proje Kapsamında Yapılacak Ticarileştirme Faaliyetleri Doğrultusunda Yapılan Analizlerin (Finansal Analiz, Pazar Analizi, Risk Analizi, Fayda Maliyet Analizi vb.)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K51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Geliştirilen Yenilikçi Hizmet/Model/Uygulama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Proje Kapsamında Geliştirilen Yenilikçi Hizmet/Model/Uygulama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T8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Toplam Ziyaretçi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Kişi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Tesisin Yıllık Ortalama Ziyaretçi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T17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Turizme Kazandırılan Taşınmaz Kültür Varlıklarının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Proje Kapsamında Turizme Kazandırılan Taşınmaz Kültür Varlıklarının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T39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 xml:space="preserve">Çeşitlendirilen </w:t>
            </w:r>
            <w:proofErr w:type="gramStart"/>
            <w:r w:rsidRPr="00B75643">
              <w:rPr>
                <w:rFonts w:ascii="Times" w:eastAsiaTheme="minorEastAsia" w:hAnsi="Times"/>
              </w:rPr>
              <w:t>Ve</w:t>
            </w:r>
            <w:proofErr w:type="gramEnd"/>
            <w:r w:rsidRPr="00B75643">
              <w:rPr>
                <w:rFonts w:ascii="Times" w:eastAsiaTheme="minorEastAsia" w:hAnsi="Times"/>
              </w:rPr>
              <w:t>/Veya Geliştirilen Turizm Faaliyeti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Puan Avantajı Sağlanan Turizm Türlerine Yönelik Çeşitlendirme Faaliyetleri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TK53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 xml:space="preserve">Bölgeye Özgü Pazarlama </w:t>
            </w:r>
            <w:proofErr w:type="spellStart"/>
            <w:r w:rsidRPr="00B75643">
              <w:rPr>
                <w:rFonts w:ascii="Times" w:eastAsiaTheme="minorEastAsia" w:hAnsi="Times"/>
              </w:rPr>
              <w:t>Portalı</w:t>
            </w:r>
            <w:proofErr w:type="spellEnd"/>
            <w:r w:rsidRPr="00B75643">
              <w:rPr>
                <w:rFonts w:ascii="Times" w:eastAsiaTheme="minorEastAsia" w:hAnsi="Times"/>
              </w:rPr>
              <w:t xml:space="preserve">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Proje Kapsamında Geliştirilen Bölgeye Özgü Tarımsal Ürünlerin Tanıtım, Satış ve Pazarlamasına Yönelik Portal Sayısı</w:t>
            </w:r>
          </w:p>
        </w:tc>
      </w:tr>
      <w:tr w:rsidR="00B75643" w:rsidRPr="00B75643" w:rsidTr="00B75643">
        <w:tc>
          <w:tcPr>
            <w:tcW w:w="121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TK58</w:t>
            </w:r>
          </w:p>
        </w:tc>
        <w:tc>
          <w:tcPr>
            <w:tcW w:w="31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Erişim Sağlanan Yeni Pazar Sayısı</w:t>
            </w:r>
          </w:p>
        </w:tc>
        <w:tc>
          <w:tcPr>
            <w:tcW w:w="1313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Adet</w:t>
            </w:r>
          </w:p>
        </w:tc>
        <w:tc>
          <w:tcPr>
            <w:tcW w:w="4536" w:type="dxa"/>
            <w:vAlign w:val="center"/>
          </w:tcPr>
          <w:p w:rsidR="00B75643" w:rsidRPr="00B75643" w:rsidRDefault="00B75643" w:rsidP="00B75643">
            <w:pPr>
              <w:shd w:val="clear" w:color="auto" w:fill="FFFFFF" w:themeFill="background1"/>
              <w:spacing w:after="200" w:line="276" w:lineRule="auto"/>
              <w:rPr>
                <w:rFonts w:ascii="Times" w:eastAsiaTheme="minorEastAsia" w:hAnsi="Times"/>
              </w:rPr>
            </w:pPr>
            <w:r w:rsidRPr="00B75643">
              <w:rPr>
                <w:rFonts w:ascii="Times" w:eastAsiaTheme="minorEastAsia" w:hAnsi="Times"/>
              </w:rPr>
              <w:t>Proje Kapsamında Yürütülen Pazar Analizi Sonucunda Erişim Sağlanan Yeni Pazar Sayısı</w:t>
            </w:r>
          </w:p>
        </w:tc>
      </w:tr>
    </w:tbl>
    <w:p w:rsidR="00B75643" w:rsidRDefault="00B75643"/>
    <w:p w:rsidR="00B75643" w:rsidRDefault="00B75643"/>
    <w:sectPr w:rsidR="00B756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643" w:rsidRDefault="00B75643" w:rsidP="00B75643">
      <w:pPr>
        <w:spacing w:after="0" w:line="240" w:lineRule="auto"/>
      </w:pPr>
      <w:r>
        <w:separator/>
      </w:r>
    </w:p>
  </w:endnote>
  <w:endnote w:type="continuationSeparator" w:id="0">
    <w:p w:rsidR="00B75643" w:rsidRDefault="00B75643" w:rsidP="00B7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643" w:rsidRDefault="00B75643" w:rsidP="00B75643">
      <w:pPr>
        <w:spacing w:after="0" w:line="240" w:lineRule="auto"/>
      </w:pPr>
      <w:r>
        <w:separator/>
      </w:r>
    </w:p>
  </w:footnote>
  <w:footnote w:type="continuationSeparator" w:id="0">
    <w:p w:rsidR="00B75643" w:rsidRDefault="00B75643" w:rsidP="00B7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643" w:rsidRPr="00B75643" w:rsidRDefault="00B75643">
    <w:pPr>
      <w:pStyle w:val="stBilgi"/>
      <w:rPr>
        <w:b/>
        <w:sz w:val="24"/>
      </w:rPr>
    </w:pPr>
    <w:r w:rsidRPr="00B75643">
      <w:rPr>
        <w:b/>
        <w:sz w:val="24"/>
      </w:rPr>
      <w:t>EK P: Kırsal Kalkınma Mali Destek Programı İçin Proje ve Program Performans Göstergeleri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43"/>
    <w:rsid w:val="00037AD2"/>
    <w:rsid w:val="002E77A2"/>
    <w:rsid w:val="00891DC6"/>
    <w:rsid w:val="00B7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0EF6F-B808-4F5F-8F71-81B40244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7564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5643"/>
  </w:style>
  <w:style w:type="paragraph" w:styleId="AltBilgi">
    <w:name w:val="footer"/>
    <w:basedOn w:val="Normal"/>
    <w:link w:val="AltBilgiChar"/>
    <w:uiPriority w:val="99"/>
    <w:unhideWhenUsed/>
    <w:rsid w:val="00B7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5643"/>
  </w:style>
  <w:style w:type="character" w:styleId="Kpr">
    <w:name w:val="Hyperlink"/>
    <w:basedOn w:val="VarsaylanParagrafYazTipi"/>
    <w:uiPriority w:val="99"/>
    <w:semiHidden/>
    <w:unhideWhenUsed/>
    <w:rsid w:val="00037AD2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37AD2"/>
    <w:rPr>
      <w:color w:val="954F72"/>
      <w:u w:val="single"/>
    </w:rPr>
  </w:style>
  <w:style w:type="paragraph" w:customStyle="1" w:styleId="msonormal0">
    <w:name w:val="msonormal"/>
    <w:basedOn w:val="Normal"/>
    <w:rsid w:val="0003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037A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03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037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037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037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03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037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2">
    <w:name w:val="xl72"/>
    <w:basedOn w:val="Normal"/>
    <w:rsid w:val="00037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037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Kalkinma Ajansi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Halise Uysal</dc:creator>
  <cp:keywords/>
  <dc:description/>
  <cp:lastModifiedBy>Halise Uysal</cp:lastModifiedBy>
  <cp:revision>2</cp:revision>
  <dcterms:created xsi:type="dcterms:W3CDTF">2021-08-31T06:49:00Z</dcterms:created>
  <dcterms:modified xsi:type="dcterms:W3CDTF">2021-08-31T12:22:00Z</dcterms:modified>
</cp:coreProperties>
</file>