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ED" w:rsidRPr="000C3482" w:rsidRDefault="003540ED" w:rsidP="003540ED">
      <w:pPr>
        <w:spacing w:before="100" w:beforeAutospacing="1" w:after="100" w:afterAutospacing="1" w:line="240" w:lineRule="atLeast"/>
        <w:ind w:firstLine="566"/>
        <w:jc w:val="both"/>
        <w:rPr>
          <w:b/>
          <w:sz w:val="22"/>
        </w:rPr>
      </w:pPr>
      <w:r w:rsidRPr="000C3482">
        <w:rPr>
          <w:b/>
          <w:sz w:val="22"/>
        </w:rPr>
        <w:t>Kalkınma kurulu üyeliği</w:t>
      </w:r>
    </w:p>
    <w:p w:rsidR="003540ED" w:rsidRPr="00676D93" w:rsidRDefault="003540ED" w:rsidP="000C3482">
      <w:pPr>
        <w:spacing w:before="120" w:after="120" w:line="240" w:lineRule="atLeast"/>
        <w:ind w:firstLine="567"/>
        <w:jc w:val="both"/>
        <w:rPr>
          <w:sz w:val="22"/>
        </w:rPr>
      </w:pPr>
      <w:r w:rsidRPr="00676D93">
        <w:rPr>
          <w:sz w:val="22"/>
        </w:rPr>
        <w:t>MADDE 11/B- (1) Kalkınma kurulu üyeleri, kalkınma kurulu listelerinin belirlendiği Bakanlar Kurulu Kararının yayımlandığı tarihten itibaren dört yıl için görev yaparlar. Ancak dört yıllık görev süresi sona eren üyeler, yeni üyelerin belirlendiği tarihe kadar görev yapmaya devam ederler. Dört yıllık sürenin sonunda veya gerek görüldüğünde Bakanlar Kurulu, kalkınma kurulunda temsil edilecek kurum ve kuruluşları yeniden belirleyebilir.</w:t>
      </w:r>
    </w:p>
    <w:p w:rsidR="003540ED" w:rsidRPr="00676D93" w:rsidRDefault="003540ED" w:rsidP="000C3482">
      <w:pPr>
        <w:spacing w:before="120" w:after="120" w:line="240" w:lineRule="atLeast"/>
        <w:ind w:firstLine="567"/>
        <w:jc w:val="both"/>
        <w:rPr>
          <w:sz w:val="22"/>
        </w:rPr>
      </w:pPr>
      <w:r w:rsidRPr="00676D93">
        <w:rPr>
          <w:sz w:val="22"/>
        </w:rPr>
        <w:t xml:space="preserve">(2) Kalkınma kurulunda temsil edilecek kurum ve kuruluşlar, kurulda görev yapacak temsilcilerinin isimlerini, görevlerini, eğitim durumlarını, yerleşim yeri bilgilerini ve ilgili ajans tarafından istenecek diğer kişisel bilgileri, kalkınma kurulu listelerinin belirlendiği Bakanlar Kurulu Kararının yayımlandığı tarihten itibaren en geç üç hafta içerisinde ilgili valiliğe bildirir. Bu süre içerisinde temsilcilerini bildirmeyen kuruluşlar ile feshedilen veya </w:t>
      </w:r>
      <w:proofErr w:type="spellStart"/>
      <w:r w:rsidRPr="00676D93">
        <w:rPr>
          <w:sz w:val="22"/>
        </w:rPr>
        <w:t>fesholunan</w:t>
      </w:r>
      <w:proofErr w:type="spellEnd"/>
      <w:r w:rsidRPr="00676D93">
        <w:rPr>
          <w:sz w:val="22"/>
        </w:rPr>
        <w:t xml:space="preserve"> kuruluşların kalkınma kurulunda temsili kendiliğinden sona erer ve kalan süre bu kuruluşların yerine her il için sırasıyla kalkınma kurulu listelerinin belirlendiği Bakanlar Kurulu Kararında yedek olarak belirlenen kuruluşlarca tamamlanır. Bu durumda asil kurul</w:t>
      </w:r>
      <w:bookmarkStart w:id="0" w:name="_GoBack"/>
      <w:bookmarkEnd w:id="0"/>
      <w:r w:rsidRPr="00676D93">
        <w:rPr>
          <w:sz w:val="22"/>
        </w:rPr>
        <w:t>uşlar ve temsilcileri için öngörülen usul ve esaslar yedek üyeler için de aynen uygulanır.</w:t>
      </w:r>
    </w:p>
    <w:p w:rsidR="003540ED" w:rsidRPr="00676D93" w:rsidRDefault="003540ED" w:rsidP="000C3482">
      <w:pPr>
        <w:spacing w:before="120" w:after="120" w:line="240" w:lineRule="atLeast"/>
        <w:ind w:firstLine="567"/>
        <w:jc w:val="both"/>
        <w:rPr>
          <w:sz w:val="22"/>
        </w:rPr>
      </w:pPr>
      <w:r w:rsidRPr="00676D93">
        <w:rPr>
          <w:sz w:val="22"/>
        </w:rPr>
        <w:t>(3) Kalkınma kurulunda temsil edilecek kurum ve kuruluşların kurulda en üst düzeyde temsil edilmeleri zorunlu olup, valilikler bu konuda gerekli tedbirleri almaktan sorumludur. Ancak yerel ve bölgesel kalkınma konusunda sahip olduğu geniş bilgi birikimi, faaliyet ve çalışmaları yahut tecrübeleri nedeniyle kalkınma kurulunun çalışmalarına önemli katkı sağlayabilecek kişiler, mensubu olduğu ilgili kuruluşun bu yöndeki talebi ve ajans genel sekreterinin onayıyla, Kurulda mensubu olduğu ilgili kuruluşu temsilen üye olarak görev yapabilir.</w:t>
      </w:r>
    </w:p>
    <w:p w:rsidR="003540ED" w:rsidRPr="00676D93" w:rsidRDefault="003540ED" w:rsidP="000C3482">
      <w:pPr>
        <w:spacing w:before="120" w:after="120" w:line="240" w:lineRule="atLeast"/>
        <w:ind w:firstLine="567"/>
        <w:jc w:val="both"/>
        <w:rPr>
          <w:sz w:val="22"/>
        </w:rPr>
      </w:pPr>
      <w:r w:rsidRPr="00676D93">
        <w:rPr>
          <w:sz w:val="22"/>
        </w:rPr>
        <w:t>(4) Kalkınma kurulunda temsil edilecek kurum ve kuruluşların temsilcilerinin ölümü, istifası, iflası, kısıtlanması, bir yılı aşan hürriyeti bağlayıcı bir ceza alması veya temsil ettiği kuruluş ile ilişkinin herhangi bir şekilde sona ermesi halinde, görevi kendiliğinden sona erer. Ayrıca geçerli bir mazereti olmaksızın üst üste iki defa ve her halükarda toplam dört defa kalkınma kurulu toplantısına katılmayan temsilcilerin görevi de kendiliğinden düşer. Bu gibi durumlarda yeni temsilci, en geç üç hafta içerisinde ilgili kuruluş tarafından belirlenir ve ilgili valiliğe bildirilir. Bu süre içerisinde yeni temsilci bildirmeyen kuruluşların kalkınma kurulunda temsili kendiliğinden sona erer ve kalan süre bu kuruluşların yerine her il için sırasıyla kalkınma kurulu listelerinin belirlendiği Bakanlar Kurulu Kararında yedek olarak belirlenen kuruluşlarca tamamlanır. Bu durumda asil kuruluşlar ve temsilcileri için öngörülen usul ve esaslar yedek üyeler için de aynen uygulanır.</w:t>
      </w:r>
    </w:p>
    <w:p w:rsidR="003540ED" w:rsidRPr="00676D93" w:rsidRDefault="003540ED" w:rsidP="000C3482">
      <w:pPr>
        <w:spacing w:before="120" w:after="120" w:line="240" w:lineRule="atLeast"/>
        <w:ind w:firstLine="567"/>
        <w:rPr>
          <w:sz w:val="22"/>
        </w:rPr>
      </w:pPr>
      <w:r w:rsidRPr="00676D93">
        <w:rPr>
          <w:sz w:val="22"/>
        </w:rPr>
        <w:t>(5) Kalkınma kurulunda görev a Alan temsilciler yalnızca bir kuruluşu temsil edebilir.</w:t>
      </w:r>
    </w:p>
    <w:p w:rsidR="003540ED" w:rsidRPr="00676D93" w:rsidRDefault="003540ED" w:rsidP="000C3482">
      <w:pPr>
        <w:spacing w:before="120" w:after="120" w:line="240" w:lineRule="atLeast"/>
        <w:ind w:firstLine="567"/>
        <w:rPr>
          <w:sz w:val="22"/>
        </w:rPr>
      </w:pPr>
      <w:r w:rsidRPr="00676D93">
        <w:rPr>
          <w:sz w:val="22"/>
        </w:rPr>
        <w:t>(6) Kalkınma kurulunda görev alan temsilciler bu görevleri sırasında temsil ettikleri kuruluşlardaki görevlerini de sürdürebilirler. Ancak bir kimse hem kalkınma kurulunda hem de yönetim kurulunda aynı anda görev yapamaz.</w:t>
      </w:r>
    </w:p>
    <w:p w:rsidR="003540ED" w:rsidRPr="00676D93" w:rsidRDefault="003540ED" w:rsidP="000C3482">
      <w:pPr>
        <w:spacing w:before="120" w:after="120" w:line="240" w:lineRule="atLeast"/>
        <w:ind w:firstLine="567"/>
        <w:rPr>
          <w:sz w:val="22"/>
        </w:rPr>
      </w:pPr>
      <w:r w:rsidRPr="00676D93">
        <w:rPr>
          <w:sz w:val="22"/>
        </w:rPr>
        <w:t>(7) Kalkınma kurulunda görev alan temsilcilerden herhangi birinin izin, geçici hastalık, yurt dışında bulunma gibi sebeplerle görevinin başında bulunamadığı durumlarda, söz konusu temsilciye vekâlet eden kişi, ilgili temsilciye vekâleten kurul toplantılarına katılabilir.</w:t>
      </w:r>
    </w:p>
    <w:p w:rsidR="003540ED" w:rsidRPr="00676D93" w:rsidRDefault="003540ED" w:rsidP="000C3482">
      <w:pPr>
        <w:spacing w:before="120" w:after="120" w:line="240" w:lineRule="atLeast"/>
        <w:ind w:firstLine="567"/>
        <w:rPr>
          <w:sz w:val="22"/>
        </w:rPr>
      </w:pPr>
      <w:r w:rsidRPr="00676D93">
        <w:rPr>
          <w:sz w:val="22"/>
        </w:rPr>
        <w:t>(8) Kalkınma kurulunda temsil edilen kurum ve kuruluşlar ile bunların temsilcilerine ve kurul toplantılarına katılım durumlarına ilişkin bilgiler, ilgili ajansın internet sitesinde güncel olarak yayımlanır.</w:t>
      </w:r>
    </w:p>
    <w:sectPr w:rsidR="003540ED" w:rsidRPr="00676D93" w:rsidSect="000C3482">
      <w:headerReference w:type="default" r:id="rId7"/>
      <w:pgSz w:w="11906" w:h="16838"/>
      <w:pgMar w:top="1982" w:right="1417" w:bottom="1417" w:left="1417" w:header="1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82" w:rsidRDefault="000C3482" w:rsidP="000C3482">
      <w:r>
        <w:separator/>
      </w:r>
    </w:p>
  </w:endnote>
  <w:endnote w:type="continuationSeparator" w:id="0">
    <w:p w:rsidR="000C3482" w:rsidRDefault="000C3482" w:rsidP="000C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82" w:rsidRDefault="000C3482" w:rsidP="000C3482">
      <w:r>
        <w:separator/>
      </w:r>
    </w:p>
  </w:footnote>
  <w:footnote w:type="continuationSeparator" w:id="0">
    <w:p w:rsidR="000C3482" w:rsidRDefault="000C3482" w:rsidP="000C3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82" w:rsidRPr="000C3482" w:rsidRDefault="000C3482" w:rsidP="000C3482">
    <w:pPr>
      <w:jc w:val="center"/>
      <w:rPr>
        <w:b/>
      </w:rPr>
    </w:pPr>
    <w:r w:rsidRPr="000C3482">
      <w:rPr>
        <w:b/>
        <w:szCs w:val="22"/>
      </w:rPr>
      <w:t>Kalkınma Kurulu Üyeliğine İlişkin Esaslar</w:t>
    </w:r>
  </w:p>
  <w:p w:rsidR="000C3482" w:rsidRPr="000C3482" w:rsidRDefault="000C3482" w:rsidP="000C3482">
    <w:pPr>
      <w:jc w:val="center"/>
      <w:rPr>
        <w:sz w:val="20"/>
      </w:rPr>
    </w:pPr>
    <w:r w:rsidRPr="000C3482">
      <w:rPr>
        <w:sz w:val="20"/>
      </w:rPr>
      <w:t xml:space="preserve">(31 Mayıs 2013 tarihinde 29663 sayılı Resmi </w:t>
    </w:r>
    <w:proofErr w:type="spellStart"/>
    <w:r w:rsidRPr="000C3482">
      <w:rPr>
        <w:sz w:val="20"/>
      </w:rPr>
      <w:t>Gazete’de</w:t>
    </w:r>
    <w:proofErr w:type="spellEnd"/>
    <w:r w:rsidRPr="000C3482">
      <w:rPr>
        <w:rFonts w:eastAsia="Calibri"/>
        <w:sz w:val="20"/>
        <w:lang w:eastAsia="en-US"/>
      </w:rPr>
      <w:t xml:space="preserve"> yayınlanan </w:t>
    </w:r>
    <w:r w:rsidRPr="000C3482">
      <w:rPr>
        <w:sz w:val="20"/>
      </w:rPr>
      <w:t xml:space="preserve">Kalkınma Ajansları Kalkınma Kurullarına Temsilci Gönderecek Kurum ve Kuruluşların Belirlenmesi ve Bazı Bakanlar Kurulu Kararlarında Değişiklik Yapılması Hakkındaki 2013/4748 sayılı </w:t>
    </w:r>
    <w:r w:rsidRPr="000C3482">
      <w:rPr>
        <w:rFonts w:eastAsia="Calibri"/>
        <w:sz w:val="20"/>
        <w:lang w:eastAsia="en-US"/>
      </w:rPr>
      <w:t xml:space="preserve">Bakanlar Kurulu </w:t>
    </w:r>
    <w:r w:rsidRPr="000C3482">
      <w:rPr>
        <w:sz w:val="20"/>
      </w:rPr>
      <w:t>Kararında yer alan esaslardır)</w:t>
    </w:r>
  </w:p>
  <w:p w:rsidR="000C3482" w:rsidRPr="000C3482" w:rsidRDefault="000C3482">
    <w:pPr>
      <w:pStyle w:val="stbilgi"/>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ED"/>
    <w:rsid w:val="000C3482"/>
    <w:rsid w:val="003540ED"/>
    <w:rsid w:val="00676D93"/>
    <w:rsid w:val="00F639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482"/>
    <w:pPr>
      <w:tabs>
        <w:tab w:val="center" w:pos="4536"/>
        <w:tab w:val="right" w:pos="9072"/>
      </w:tabs>
    </w:pPr>
  </w:style>
  <w:style w:type="character" w:customStyle="1" w:styleId="stbilgiChar">
    <w:name w:val="Üstbilgi Char"/>
    <w:basedOn w:val="VarsaylanParagrafYazTipi"/>
    <w:link w:val="stbilgi"/>
    <w:uiPriority w:val="99"/>
    <w:rsid w:val="000C348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C3482"/>
    <w:pPr>
      <w:tabs>
        <w:tab w:val="center" w:pos="4536"/>
        <w:tab w:val="right" w:pos="9072"/>
      </w:tabs>
    </w:pPr>
  </w:style>
  <w:style w:type="character" w:customStyle="1" w:styleId="AltbilgiChar">
    <w:name w:val="Altbilgi Char"/>
    <w:basedOn w:val="VarsaylanParagrafYazTipi"/>
    <w:link w:val="Altbilgi"/>
    <w:uiPriority w:val="99"/>
    <w:rsid w:val="000C348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C3482"/>
    <w:rPr>
      <w:rFonts w:ascii="Tahoma" w:hAnsi="Tahoma" w:cs="Tahoma"/>
      <w:sz w:val="16"/>
      <w:szCs w:val="16"/>
    </w:rPr>
  </w:style>
  <w:style w:type="character" w:customStyle="1" w:styleId="BalonMetniChar">
    <w:name w:val="Balon Metni Char"/>
    <w:basedOn w:val="VarsaylanParagrafYazTipi"/>
    <w:link w:val="BalonMetni"/>
    <w:uiPriority w:val="99"/>
    <w:semiHidden/>
    <w:rsid w:val="000C3482"/>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482"/>
    <w:pPr>
      <w:tabs>
        <w:tab w:val="center" w:pos="4536"/>
        <w:tab w:val="right" w:pos="9072"/>
      </w:tabs>
    </w:pPr>
  </w:style>
  <w:style w:type="character" w:customStyle="1" w:styleId="stbilgiChar">
    <w:name w:val="Üstbilgi Char"/>
    <w:basedOn w:val="VarsaylanParagrafYazTipi"/>
    <w:link w:val="stbilgi"/>
    <w:uiPriority w:val="99"/>
    <w:rsid w:val="000C348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C3482"/>
    <w:pPr>
      <w:tabs>
        <w:tab w:val="center" w:pos="4536"/>
        <w:tab w:val="right" w:pos="9072"/>
      </w:tabs>
    </w:pPr>
  </w:style>
  <w:style w:type="character" w:customStyle="1" w:styleId="AltbilgiChar">
    <w:name w:val="Altbilgi Char"/>
    <w:basedOn w:val="VarsaylanParagrafYazTipi"/>
    <w:link w:val="Altbilgi"/>
    <w:uiPriority w:val="99"/>
    <w:rsid w:val="000C348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C3482"/>
    <w:rPr>
      <w:rFonts w:ascii="Tahoma" w:hAnsi="Tahoma" w:cs="Tahoma"/>
      <w:sz w:val="16"/>
      <w:szCs w:val="16"/>
    </w:rPr>
  </w:style>
  <w:style w:type="character" w:customStyle="1" w:styleId="BalonMetniChar">
    <w:name w:val="Balon Metni Char"/>
    <w:basedOn w:val="VarsaylanParagrafYazTipi"/>
    <w:link w:val="BalonMetni"/>
    <w:uiPriority w:val="99"/>
    <w:semiHidden/>
    <w:rsid w:val="000C348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huysal</dc:creator>
  <cp:lastModifiedBy>huysal</cp:lastModifiedBy>
  <cp:revision>3</cp:revision>
  <dcterms:created xsi:type="dcterms:W3CDTF">2013-06-10T13:27:00Z</dcterms:created>
  <dcterms:modified xsi:type="dcterms:W3CDTF">2013-06-10T13:32:00Z</dcterms:modified>
</cp:coreProperties>
</file>